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26" w:rsidRPr="00A22C0F" w:rsidRDefault="00A30126" w:rsidP="00A30126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0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конструирования урока </w:t>
      </w:r>
    </w:p>
    <w:p w:rsidR="00A30126" w:rsidRPr="00A22C0F" w:rsidRDefault="00A30126" w:rsidP="00A30126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0F">
        <w:rPr>
          <w:rFonts w:ascii="Times New Roman" w:hAnsi="Times New Roman" w:cs="Times New Roman"/>
          <w:b/>
          <w:sz w:val="28"/>
          <w:szCs w:val="28"/>
        </w:rPr>
        <w:t>в современной информационной образовательной среде</w:t>
      </w:r>
    </w:p>
    <w:p w:rsidR="00A30126" w:rsidRPr="00A22C0F" w:rsidRDefault="00A30126" w:rsidP="00A30126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041"/>
        <w:gridCol w:w="2909"/>
        <w:gridCol w:w="1899"/>
        <w:gridCol w:w="916"/>
        <w:gridCol w:w="942"/>
      </w:tblGrid>
      <w:tr w:rsidR="00A30126" w:rsidRPr="00A22C0F" w:rsidTr="0048464E">
        <w:tc>
          <w:tcPr>
            <w:tcW w:w="10456" w:type="dxa"/>
            <w:gridSpan w:val="6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часть </w:t>
            </w:r>
          </w:p>
        </w:tc>
      </w:tr>
      <w:tr w:rsidR="00A30126" w:rsidRPr="00A22C0F" w:rsidTr="0048464E">
        <w:tc>
          <w:tcPr>
            <w:tcW w:w="2532" w:type="dxa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A30126" w:rsidRPr="00A22C0F" w:rsidRDefault="00A30126" w:rsidP="004846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47" w:type="dxa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126" w:rsidRPr="00A22C0F" w:rsidTr="0048464E">
        <w:tc>
          <w:tcPr>
            <w:tcW w:w="2532" w:type="dxa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24" w:type="dxa"/>
            <w:gridSpan w:val="5"/>
            <w:shd w:val="clear" w:color="auto" w:fill="auto"/>
          </w:tcPr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Односоставные предложения</w:t>
            </w:r>
          </w:p>
        </w:tc>
      </w:tr>
      <w:tr w:rsidR="00A30126" w:rsidRPr="00A22C0F" w:rsidTr="0048464E">
        <w:tc>
          <w:tcPr>
            <w:tcW w:w="10456" w:type="dxa"/>
            <w:gridSpan w:val="6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A30126" w:rsidRPr="00A22C0F" w:rsidTr="0048464E"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2975" w:type="dxa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</w:p>
        </w:tc>
      </w:tr>
      <w:tr w:rsidR="00A30126" w:rsidRPr="00A22C0F" w:rsidTr="0048464E">
        <w:trPr>
          <w:trHeight w:val="4101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Опознавание и анализ основных единиц языка, грамматических категорий языка, уместное употребление языковых единиц.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синтаксического анализа словосочетания и предложения, многоаспектного анализа текста.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коммуникативно – эстетических возможностей грамматической и лексической синонимии и использование их в собственной речевой практике.</w:t>
            </w:r>
          </w:p>
        </w:tc>
        <w:tc>
          <w:tcPr>
            <w:tcW w:w="2975" w:type="dxa"/>
            <w:shd w:val="clear" w:color="auto" w:fill="auto"/>
          </w:tcPr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общей цели и путей ее достижения;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планировать, контролировать и оценивать собственные учебные действия;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приемами отбора и систематизации материала на определенную тему;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вести самостоятельный поиск информации;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преобразованию, сохранению и передаче информации, полученной в результате чтения;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выступать перед аудиторией сверстников с небольшими сообщениями; участие в спорах, </w:t>
            </w: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обсуждениях актуальных тем с использованием различных средств аргументации;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коммуникативно- целесообразное взаимодействие с окружающими людьми в процессе речевого общения, совместного выполнения задания. 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A30126" w:rsidRPr="00A22C0F" w:rsidRDefault="00A30126" w:rsidP="0048464E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Стремление к речевому самосовершенствованию, способность к самооценке на основе наблюдения собственной речью, развитие навыка сотрудничества с учителем и сверстниками в различных ситуациях. </w:t>
            </w:r>
          </w:p>
          <w:p w:rsidR="00A30126" w:rsidRPr="00A22C0F" w:rsidRDefault="00A30126" w:rsidP="0048464E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работать с ЭОР.  </w:t>
            </w:r>
          </w:p>
          <w:p w:rsidR="00A30126" w:rsidRPr="00A22C0F" w:rsidRDefault="00A30126" w:rsidP="004846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30126" w:rsidRPr="00A22C0F" w:rsidTr="0048464E"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Решаемые учебные про</w:t>
            </w:r>
            <w:r w:rsidRPr="00A22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блемы</w:t>
            </w:r>
          </w:p>
          <w:p w:rsidR="00A30126" w:rsidRPr="00A22C0F" w:rsidRDefault="00A30126" w:rsidP="004846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структуру односоставных предложений, выявить отличия   данных предложений от двусоставных.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Классифицировать односоставные предложения по их значению и структурным особенностям. </w:t>
            </w:r>
          </w:p>
        </w:tc>
      </w:tr>
      <w:tr w:rsidR="00A30126" w:rsidRPr="00A22C0F" w:rsidTr="0048464E"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Вид используемых на уро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ке средств ИКТ и учебных материалов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ЭОР, презентация, маршрутные листы, листы оценивания. </w:t>
            </w:r>
          </w:p>
        </w:tc>
      </w:tr>
      <w:tr w:rsidR="00A30126" w:rsidRPr="00A22C0F" w:rsidTr="0048464E"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Методическое назначение средств ИКТ</w:t>
            </w: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и учебных материалов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Усилить мотивацию, повысить интерес и расширить познавательные по</w:t>
            </w: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требности обучаемых.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Усилить наглядность в обучении, повысить уровень визуализации изучае</w:t>
            </w: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мого материала.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Включить в познавательную деятельность арсенал новых методов, осно</w:t>
            </w: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ванных на использовании средств ИКТ.</w:t>
            </w:r>
          </w:p>
        </w:tc>
      </w:tr>
      <w:tr w:rsidR="00A30126" w:rsidRPr="00A22C0F" w:rsidTr="0048464E"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Образовательные интернет-ресурсы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1F559C" w:rsidP="007F75C6">
            <w:pPr>
              <w:pStyle w:val="2"/>
              <w:shd w:val="clear" w:color="auto" w:fill="auto"/>
              <w:spacing w:after="20" w:line="276" w:lineRule="auto"/>
              <w:jc w:val="left"/>
              <w:rPr>
                <w:rFonts w:ascii="Times New Roman" w:hAnsi="Times New Roman" w:cs="Times New Roman"/>
                <w:color w:val="004A99"/>
                <w:sz w:val="28"/>
                <w:szCs w:val="28"/>
                <w:shd w:val="clear" w:color="auto" w:fill="FFFFFF"/>
              </w:rPr>
            </w:pPr>
            <w:hyperlink r:id="rId4" w:history="1">
              <w:r w:rsidR="00B45314" w:rsidRPr="00B4531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https://edu.skysmart.ru/?ref=zihiramili</w:t>
              </w:r>
            </w:hyperlink>
          </w:p>
        </w:tc>
      </w:tr>
      <w:tr w:rsidR="00A30126" w:rsidRPr="00A22C0F" w:rsidTr="0048464E">
        <w:tc>
          <w:tcPr>
            <w:tcW w:w="10456" w:type="dxa"/>
            <w:gridSpan w:val="6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center"/>
              <w:rPr>
                <w:rStyle w:val="1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2C0F">
              <w:rPr>
                <w:rStyle w:val="8pt0pt"/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A30126" w:rsidRPr="00A22C0F" w:rsidTr="0048464E">
        <w:tc>
          <w:tcPr>
            <w:tcW w:w="10456" w:type="dxa"/>
            <w:gridSpan w:val="6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center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8pt0pt"/>
                <w:rFonts w:ascii="Times New Roman" w:hAnsi="Times New Roman" w:cs="Times New Roman"/>
                <w:b/>
                <w:sz w:val="28"/>
                <w:szCs w:val="28"/>
              </w:rPr>
              <w:t>Этап 1.</w:t>
            </w:r>
            <w:r w:rsidRPr="00A22C0F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 xml:space="preserve"> Вхождение в тему урока и создание условий для осознанного восприятия нового материала</w:t>
            </w:r>
          </w:p>
        </w:tc>
      </w:tr>
      <w:tr w:rsidR="00A30126" w:rsidRPr="00A22C0F" w:rsidTr="0048464E">
        <w:trPr>
          <w:trHeight w:val="1965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00"/>
              <w:jc w:val="left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Формирование конкретно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го образовательного ма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териала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Формулировка целей и задач урока.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умения  по  различению  односоставных  и  двусоставных  предложений,  видов  односоставных  предложений  по  смысловым  и  грамматическим  признакам;  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познавательных  и  творческих  способностей  учащихся.  </w:t>
            </w:r>
          </w:p>
        </w:tc>
      </w:tr>
      <w:tr w:rsidR="00A30126" w:rsidRPr="00A22C0F" w:rsidTr="0048464E">
        <w:trPr>
          <w:trHeight w:val="6085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ти, направленный на фор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мирование образователь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ного результата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Обучение «учитель – ученик» («лицом к лицу»)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Вступительное слово учителя.</w:t>
            </w:r>
            <w:bookmarkStart w:id="0" w:name="anc11"/>
            <w:r w:rsidRPr="00A22C0F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bookmarkEnd w:id="0"/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получает маршрутные листы и выполняет работу по своей части темы и в конце работы представляет результат своей деятельности.  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          1 группа выполняет задание, указанное в технологической карте -  графически изобразить различие односоставных и двусоставных предложений.  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          2 группа работает со своей картой и выписывает примеры различных односоставных предложений, находит возможные способы их объединения в группы.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         3 группа выписывает примеры различных односоставных предложений и 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находит возможные способы их объединения в группы.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то что задания 2 и 3 группы одинаковые, результат работы - продукт- обязательно будет разным (зависит от содержания дидактического материала). </w:t>
            </w:r>
          </w:p>
        </w:tc>
      </w:tr>
      <w:tr w:rsidR="00A30126" w:rsidRPr="00A22C0F" w:rsidTr="0048464E">
        <w:trPr>
          <w:trHeight w:val="23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Пропедевтическая беседа</w:t>
            </w:r>
          </w:p>
        </w:tc>
      </w:tr>
      <w:tr w:rsidR="00A30126" w:rsidRPr="00A22C0F" w:rsidTr="0048464E">
        <w:trPr>
          <w:trHeight w:val="694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Форма организации де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ятельности учащихся. Роль учителя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Подготовка к сообщению задач урока, организации различных видов де</w:t>
            </w: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ятельности, сбор информации групповой работы.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126" w:rsidRPr="00A22C0F" w:rsidTr="0048464E">
        <w:trPr>
          <w:trHeight w:val="1260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ности учителя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Организует работу по подготовке учащихся к знакомству и освоению но</w:t>
            </w: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вого учебного материала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.  Подбирает учебный материал, составляет систему вопросов, разрабатывает   и поясняет критерии оценивания.  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30126" w:rsidRPr="00A22C0F" w:rsidTr="0048464E">
        <w:trPr>
          <w:trHeight w:val="1123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Этап 2. Организация и самоорганизация учащихся в ходе дальнейшего усвоения материала.</w:t>
            </w:r>
          </w:p>
          <w:p w:rsidR="00A30126" w:rsidRPr="00A22C0F" w:rsidRDefault="00A30126" w:rsidP="0048464E">
            <w:pPr>
              <w:pStyle w:val="2"/>
              <w:spacing w:after="20"/>
              <w:ind w:left="8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Организация обратной связи</w:t>
            </w:r>
          </w:p>
        </w:tc>
      </w:tr>
      <w:tr w:rsidR="00A30126" w:rsidRPr="00A22C0F" w:rsidTr="0048464E">
        <w:trPr>
          <w:trHeight w:val="1102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20"/>
              <w:jc w:val="left"/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Формирование конкретно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го образовательного ма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териала.  Самообучение учащихся.  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Работа в группах по зонам.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tabs>
                <w:tab w:val="left" w:pos="326"/>
              </w:tabs>
              <w:spacing w:after="2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26" w:rsidRPr="00A22C0F" w:rsidTr="0048464E">
        <w:trPr>
          <w:trHeight w:val="8778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CenturySchoolbook85pt0pt"/>
                <w:rFonts w:ascii="Times New Roman" w:hAnsi="Times New Roman" w:cs="Times New Roman"/>
                <w:sz w:val="28"/>
                <w:szCs w:val="28"/>
              </w:rPr>
              <w:t>Основные виды деятельнос</w:t>
            </w:r>
            <w:r w:rsidRPr="00A22C0F">
              <w:rPr>
                <w:rStyle w:val="CenturySchoolbook85pt0pt"/>
                <w:rFonts w:ascii="Times New Roman" w:hAnsi="Times New Roman" w:cs="Times New Roman"/>
                <w:sz w:val="28"/>
                <w:szCs w:val="28"/>
              </w:rPr>
              <w:softHyphen/>
              <w:t>ти, направленные на фор</w:t>
            </w:r>
            <w:r w:rsidRPr="00A22C0F">
              <w:rPr>
                <w:rStyle w:val="CenturySchoolbook85pt0pt"/>
                <w:rFonts w:ascii="Times New Roman" w:hAnsi="Times New Roman" w:cs="Times New Roman"/>
                <w:sz w:val="28"/>
                <w:szCs w:val="28"/>
              </w:rPr>
              <w:softHyphen/>
              <w:t>мирование образователь</w:t>
            </w:r>
            <w:r w:rsidRPr="00A22C0F">
              <w:rPr>
                <w:rStyle w:val="CenturySchoolbook85pt0pt"/>
                <w:rFonts w:ascii="Times New Roman" w:hAnsi="Times New Roman" w:cs="Times New Roman"/>
                <w:sz w:val="28"/>
                <w:szCs w:val="28"/>
              </w:rPr>
              <w:softHyphen/>
              <w:t>ного результата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b/>
                <w:sz w:val="28"/>
                <w:szCs w:val="28"/>
              </w:rPr>
              <w:t>1 этап работы в группах: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1 группа начинает с   зоны онлайн 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Работа с теоретическим материалом 6 стр.1 (можно пользоваться материалом школьного учебника.)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Выполнение заданий ТРЕНИРУЕМСЯ, КОНТРОЛЬ и ГИА.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2 группа (зона работы в группах)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- Прочитать материал школьного учебника. 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Обсудить, в каком виде будет представлено задание.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 Наводящие вопросы учителя: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Какие предложения считают односоставными? Это полные предложения?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3 группа (Зона работы с учителем) 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продукт, в форме которого будет представлен результат 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Наводящие вопросы учителя: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на какие группы сразу можно поделить предложения односоставные?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Какие категории важны при определении грамматического значения предложения?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b/>
                <w:sz w:val="28"/>
                <w:szCs w:val="28"/>
              </w:rPr>
              <w:t>2 этап работы в группах: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1 группа в зоне работы с учителем обсуждает критерии оценивания рисунка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Наводящие вопросы учителя: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в чем главное отличие односоставных предложений от двусоставных?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На что нужно обращать внимание при характеристике таких предложений?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2 группа в зоне онлайн работает с теорией стр.1, выполнение заданий тренажера модуля 6 стр. 1, контроля и ГИА 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Сделать вывод: по какому принципу можно разделить односоставные предложения на группы?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3группа в зоне работы в группах обсуждение продукта, в форме которого будет представлен результат 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b/>
                <w:sz w:val="28"/>
                <w:szCs w:val="28"/>
              </w:rPr>
              <w:t>3 этап работы в группах: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1 группа в Зоне работы в группах делает вывод способах различения односоставных и двусоставных предложений.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2 группа в Зоне работы с учителем обсуждает продукт, в форме которого будет представлен результат 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Наводящие вопросы учителя: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на какие группы сразу можно поделить предложения односоставные?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- Какие категории важны при определении грамматического значения предложения?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3 группа в зоне онлайн работает с заданиями работа с теорией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стр.1, выполнение заданий тренажера модуля 6 стр. 1, упр.1,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контроля и ГИА.</w:t>
            </w:r>
          </w:p>
          <w:p w:rsidR="00A30126" w:rsidRPr="00A22C0F" w:rsidRDefault="00A30126" w:rsidP="0048464E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Сделать вывод: по какому принципу можно разделить односоставные предложения на группы?</w:t>
            </w:r>
          </w:p>
        </w:tc>
      </w:tr>
      <w:tr w:rsidR="00A30126" w:rsidRPr="00A22C0F" w:rsidTr="0048464E">
        <w:trPr>
          <w:trHeight w:val="375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</w:p>
        </w:tc>
      </w:tr>
      <w:tr w:rsidR="00A30126" w:rsidRPr="00A22C0F" w:rsidTr="0048464E">
        <w:trPr>
          <w:trHeight w:val="41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Форма организации де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ятельности учащихся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Обсуждение и поиск общего решения группы, представление результатов работы в группе.</w:t>
            </w:r>
          </w:p>
        </w:tc>
      </w:tr>
      <w:tr w:rsidR="00A30126" w:rsidRPr="00A22C0F" w:rsidTr="0048464E">
        <w:trPr>
          <w:trHeight w:val="41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ности учителя, роль учи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теля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Организует и направляет деятельность обучающихся. </w:t>
            </w:r>
          </w:p>
        </w:tc>
      </w:tr>
      <w:tr w:rsidR="00A30126" w:rsidRPr="00A22C0F" w:rsidTr="0048464E">
        <w:trPr>
          <w:trHeight w:val="417"/>
        </w:trPr>
        <w:tc>
          <w:tcPr>
            <w:tcW w:w="10456" w:type="dxa"/>
            <w:gridSpan w:val="6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center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Этап 3. Проверка полученных результатов. Коррекция</w:t>
            </w:r>
          </w:p>
        </w:tc>
      </w:tr>
      <w:tr w:rsidR="00A30126" w:rsidRPr="00A22C0F" w:rsidTr="0048464E">
        <w:trPr>
          <w:trHeight w:val="41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Формирование конкретно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го образовательного ма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териала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Default="00A30126" w:rsidP="0048464E">
            <w:pPr>
              <w:pStyle w:val="2"/>
              <w:spacing w:after="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Итак, все группы выполнили задания, и теперь самое время их оценить. Каждая группа представит</w:t>
            </w:r>
          </w:p>
          <w:p w:rsidR="00A30126" w:rsidRDefault="00A30126" w:rsidP="0048464E">
            <w:pPr>
              <w:pStyle w:val="2"/>
              <w:spacing w:after="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результат своей работы, оценит сначала сама свой</w:t>
            </w:r>
          </w:p>
          <w:p w:rsidR="00A30126" w:rsidRDefault="00A30126" w:rsidP="0048464E">
            <w:pPr>
              <w:pStyle w:val="2"/>
              <w:spacing w:after="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продукт по критериям,</w:t>
            </w:r>
            <w:r w:rsidR="001F55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указанным 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 технологической карте и на слайде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а затем вы оцените друг друга. Общая оценка выводится из результатов оценивания группы и каждого в отдельности.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Если возникают вопросы к выступающим, то можно после защиты их задавать.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A30126" w:rsidRPr="00A30126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301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Итоговые вопросы учителя: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Интересно ли вам узнать, как классифицировали односоставные предложения лингвисты?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Попробуйте дома обосновать, на что опирались лингвисты при делении односоставных предложении на группы.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30126" w:rsidRPr="00A22C0F" w:rsidTr="0048464E">
        <w:trPr>
          <w:trHeight w:val="42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2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вид деятельности, направленный на формирова</w:t>
            </w:r>
            <w:r w:rsidRPr="00A22C0F">
              <w:rPr>
                <w:rStyle w:val="1"/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ние образовательного резуль</w:t>
            </w:r>
            <w:r w:rsidRPr="00A22C0F">
              <w:rPr>
                <w:rStyle w:val="1"/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тата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исследований.</w:t>
            </w:r>
          </w:p>
        </w:tc>
      </w:tr>
      <w:tr w:rsidR="00A30126" w:rsidRPr="00A22C0F" w:rsidTr="0048464E">
        <w:trPr>
          <w:trHeight w:val="41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Практические, наглядные, словесные.</w:t>
            </w:r>
          </w:p>
        </w:tc>
      </w:tr>
      <w:tr w:rsidR="00A30126" w:rsidRPr="00A22C0F" w:rsidTr="0048464E">
        <w:trPr>
          <w:trHeight w:val="41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1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ности учителя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Default="00A30126" w:rsidP="0048464E">
            <w:pPr>
              <w:pStyle w:val="2"/>
              <w:shd w:val="clear" w:color="auto" w:fill="auto"/>
              <w:spacing w:after="2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Комментирует выполненную работу.  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26" w:rsidRPr="00A22C0F" w:rsidTr="0048464E">
        <w:trPr>
          <w:trHeight w:val="417"/>
        </w:trPr>
        <w:tc>
          <w:tcPr>
            <w:tcW w:w="10456" w:type="dxa"/>
            <w:gridSpan w:val="6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center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Этап 5. Подведение итогов, домашнее задание</w:t>
            </w:r>
          </w:p>
        </w:tc>
      </w:tr>
      <w:tr w:rsidR="00A30126" w:rsidRPr="00A22C0F" w:rsidTr="0048464E">
        <w:trPr>
          <w:trHeight w:val="41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Рефлексия по достигну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тым либо недостигну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тым результатам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Продолжите в своих маршрутных листах предложения: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Выполняя эту работу, я научился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Теперь я могу. 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Я приобрел… 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Было трудно…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У меня получилось …</w:t>
            </w:r>
          </w:p>
          <w:p w:rsidR="00A30126" w:rsidRPr="00A22C0F" w:rsidRDefault="00A30126" w:rsidP="0048464E">
            <w:pPr>
              <w:pStyle w:val="2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26" w:rsidRPr="00A22C0F" w:rsidTr="0048464E">
        <w:trPr>
          <w:trHeight w:val="41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</w:t>
            </w: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softHyphen/>
              <w:t>гии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обучение    </w:t>
            </w:r>
          </w:p>
        </w:tc>
      </w:tr>
      <w:tr w:rsidR="00A30126" w:rsidRPr="00A22C0F" w:rsidTr="0048464E">
        <w:trPr>
          <w:trHeight w:val="417"/>
        </w:trPr>
        <w:tc>
          <w:tcPr>
            <w:tcW w:w="3670" w:type="dxa"/>
            <w:gridSpan w:val="2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0F">
              <w:rPr>
                <w:rStyle w:val="0pt"/>
                <w:rFonts w:ascii="Times New Roman" w:hAnsi="Times New Roman" w:cs="Times New Roman"/>
                <w:b/>
                <w:sz w:val="28"/>
                <w:szCs w:val="28"/>
              </w:rPr>
              <w:t>Способы оценки на уроках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A30126" w:rsidRPr="00A22C0F" w:rsidRDefault="00A30126" w:rsidP="0048464E">
            <w:pPr>
              <w:pStyle w:val="2"/>
              <w:shd w:val="clear" w:color="auto" w:fill="auto"/>
              <w:spacing w:after="20" w:line="276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C0F">
              <w:rPr>
                <w:rFonts w:ascii="Times New Roman" w:hAnsi="Times New Roman" w:cs="Times New Roman"/>
                <w:sz w:val="28"/>
                <w:szCs w:val="28"/>
              </w:rPr>
              <w:t>Листы оценивания</w:t>
            </w:r>
          </w:p>
        </w:tc>
      </w:tr>
    </w:tbl>
    <w:p w:rsidR="00A30126" w:rsidRDefault="00A30126" w:rsidP="00A30126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A30126" w:rsidRDefault="00A30126" w:rsidP="00A30126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A30126" w:rsidRPr="00CB1662" w:rsidRDefault="00A30126" w:rsidP="00A30126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680B4E" w:rsidRDefault="00680B4E"/>
    <w:sectPr w:rsidR="00680B4E" w:rsidSect="00D4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6"/>
    <w:rsid w:val="001F559C"/>
    <w:rsid w:val="00680B4E"/>
    <w:rsid w:val="007F75C6"/>
    <w:rsid w:val="00A30126"/>
    <w:rsid w:val="00B4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572B-708F-4EB5-B882-AFF59FE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30126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character" w:customStyle="1" w:styleId="1">
    <w:name w:val="Основной текст1"/>
    <w:rsid w:val="00A30126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30126"/>
    <w:pPr>
      <w:widowControl w:val="0"/>
      <w:shd w:val="clear" w:color="auto" w:fill="FFFFFF"/>
      <w:spacing w:after="0" w:line="221" w:lineRule="exact"/>
      <w:jc w:val="both"/>
    </w:pPr>
    <w:rPr>
      <w:rFonts w:ascii="Century Schoolbook" w:eastAsia="Century Schoolbook" w:hAnsi="Century Schoolbook" w:cs="Century Schoolbook"/>
      <w:spacing w:val="3"/>
      <w:sz w:val="17"/>
      <w:szCs w:val="17"/>
      <w:lang w:eastAsia="en-US"/>
    </w:rPr>
  </w:style>
  <w:style w:type="character" w:customStyle="1" w:styleId="0pt">
    <w:name w:val="Основной текст + Курсив;Интервал 0 pt"/>
    <w:rsid w:val="00A3012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3012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rsid w:val="00A3012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Не полужирный;Курсив;Интервал 0 pt"/>
    <w:rsid w:val="00A3012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4">
    <w:name w:val="Hyperlink"/>
    <w:uiPriority w:val="99"/>
    <w:unhideWhenUsed/>
    <w:rsid w:val="00A3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?ref=zihirami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2020-11-30T09:49:00Z</dcterms:created>
  <dcterms:modified xsi:type="dcterms:W3CDTF">2020-11-30T11:45:00Z</dcterms:modified>
</cp:coreProperties>
</file>